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92A3" w14:textId="55D253FA" w:rsidR="0034635A" w:rsidRPr="0034635A" w:rsidRDefault="0034635A" w:rsidP="0034635A">
      <w:pPr>
        <w:jc w:val="right"/>
        <w:rPr>
          <w:rFonts w:ascii="Arial" w:hAnsi="Arial" w:cs="Arial"/>
          <w:sz w:val="24"/>
          <w:szCs w:val="24"/>
        </w:rPr>
      </w:pPr>
      <w:r w:rsidRPr="0034635A">
        <w:rPr>
          <w:rFonts w:ascii="Arial" w:hAnsi="Arial" w:cs="Arial"/>
          <w:sz w:val="24"/>
          <w:szCs w:val="24"/>
        </w:rPr>
        <w:t>Appendix 4</w:t>
      </w:r>
    </w:p>
    <w:p w14:paraId="3905FE4F" w14:textId="5BBF4164" w:rsidR="00156755" w:rsidRDefault="0034635A">
      <w:r w:rsidRPr="0034635A">
        <w:rPr>
          <w:rFonts w:ascii="Arial" w:hAnsi="Arial" w:cs="Arial"/>
          <w:sz w:val="24"/>
          <w:szCs w:val="24"/>
        </w:rPr>
        <w:t>Glossary of Terms</w:t>
      </w:r>
      <w:r w:rsidR="00156755">
        <w:tab/>
      </w:r>
      <w:r w:rsidR="0015675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56755" w14:paraId="0EB54E11" w14:textId="77777777" w:rsidTr="00C0645A">
        <w:tc>
          <w:tcPr>
            <w:tcW w:w="2689" w:type="dxa"/>
          </w:tcPr>
          <w:p w14:paraId="35F9EB00" w14:textId="77777777" w:rsidR="00156755" w:rsidRPr="00C0645A" w:rsidRDefault="00156755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>Working Age</w:t>
            </w:r>
          </w:p>
        </w:tc>
        <w:tc>
          <w:tcPr>
            <w:tcW w:w="6327" w:type="dxa"/>
          </w:tcPr>
          <w:p w14:paraId="4FB931B8" w14:textId="5C7252F5" w:rsidR="00156755" w:rsidRPr="00C0645A" w:rsidRDefault="0034635A" w:rsidP="0034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for</w:t>
            </w:r>
            <w:r w:rsidR="00156755" w:rsidRPr="00C0645A">
              <w:rPr>
                <w:rFonts w:ascii="Arial" w:hAnsi="Arial" w:cs="Arial"/>
              </w:rPr>
              <w:t xml:space="preserve"> which the Government expect State Pension </w:t>
            </w:r>
            <w:r>
              <w:rPr>
                <w:rFonts w:ascii="Arial" w:hAnsi="Arial" w:cs="Arial"/>
              </w:rPr>
              <w:t>to not</w:t>
            </w:r>
            <w:r w:rsidR="00A921AA">
              <w:rPr>
                <w:rFonts w:ascii="Arial" w:hAnsi="Arial" w:cs="Arial"/>
              </w:rPr>
              <w:t xml:space="preserve"> be claimed.  Currently age 66.</w:t>
            </w:r>
          </w:p>
        </w:tc>
      </w:tr>
      <w:tr w:rsidR="00156755" w14:paraId="751A4B2B" w14:textId="77777777" w:rsidTr="00C0645A">
        <w:tc>
          <w:tcPr>
            <w:tcW w:w="2689" w:type="dxa"/>
          </w:tcPr>
          <w:p w14:paraId="5C809D11" w14:textId="77777777" w:rsidR="00156755" w:rsidRPr="00C0645A" w:rsidRDefault="00156755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>Uprating</w:t>
            </w:r>
          </w:p>
        </w:tc>
        <w:tc>
          <w:tcPr>
            <w:tcW w:w="6327" w:type="dxa"/>
          </w:tcPr>
          <w:p w14:paraId="4D168C89" w14:textId="6B67024D" w:rsidR="00156755" w:rsidRPr="00C0645A" w:rsidRDefault="0034635A" w:rsidP="0034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for Work and Pensions</w:t>
            </w:r>
            <w:r w:rsidRPr="00C06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156755" w:rsidRPr="00C0645A">
              <w:rPr>
                <w:rFonts w:ascii="Arial" w:hAnsi="Arial" w:cs="Arial"/>
              </w:rPr>
              <w:t xml:space="preserve">nnual </w:t>
            </w:r>
            <w:r>
              <w:rPr>
                <w:rFonts w:ascii="Arial" w:hAnsi="Arial" w:cs="Arial"/>
              </w:rPr>
              <w:t xml:space="preserve">income-related social security benefit </w:t>
            </w:r>
            <w:r w:rsidR="00156755" w:rsidRPr="00C0645A">
              <w:rPr>
                <w:rFonts w:ascii="Arial" w:hAnsi="Arial" w:cs="Arial"/>
              </w:rPr>
              <w:t>increase</w:t>
            </w:r>
            <w:r>
              <w:rPr>
                <w:rFonts w:ascii="Arial" w:hAnsi="Arial" w:cs="Arial"/>
              </w:rPr>
              <w:t>s each</w:t>
            </w:r>
            <w:r w:rsidR="00156755" w:rsidRPr="00C0645A">
              <w:rPr>
                <w:rFonts w:ascii="Arial" w:hAnsi="Arial" w:cs="Arial"/>
              </w:rPr>
              <w:t xml:space="preserve"> Apri</w:t>
            </w:r>
            <w:r>
              <w:rPr>
                <w:rFonts w:ascii="Arial" w:hAnsi="Arial" w:cs="Arial"/>
              </w:rPr>
              <w:t>l</w:t>
            </w:r>
            <w:r w:rsidR="00156755" w:rsidRPr="00C0645A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These benefits, </w:t>
            </w:r>
            <w:r w:rsidR="00156755" w:rsidRPr="00C0645A">
              <w:rPr>
                <w:rFonts w:ascii="Arial" w:hAnsi="Arial" w:cs="Arial"/>
              </w:rPr>
              <w:t xml:space="preserve">and the amount which the government state is required to live </w:t>
            </w:r>
            <w:r>
              <w:rPr>
                <w:rFonts w:ascii="Arial" w:hAnsi="Arial" w:cs="Arial"/>
              </w:rPr>
              <w:t xml:space="preserve">on each week </w:t>
            </w:r>
            <w:r w:rsidR="00156755" w:rsidRPr="00C0645A">
              <w:rPr>
                <w:rFonts w:ascii="Arial" w:hAnsi="Arial" w:cs="Arial"/>
              </w:rPr>
              <w:t xml:space="preserve">are increased each April by a percentage.  The increase is </w:t>
            </w:r>
            <w:r>
              <w:rPr>
                <w:rFonts w:ascii="Arial" w:hAnsi="Arial" w:cs="Arial"/>
              </w:rPr>
              <w:t xml:space="preserve">based on either the </w:t>
            </w:r>
            <w:r w:rsidR="00156755" w:rsidRPr="00C0645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etail </w:t>
            </w:r>
            <w:r w:rsidR="00156755" w:rsidRPr="00C0645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rice </w:t>
            </w:r>
            <w:r w:rsidR="00156755" w:rsidRPr="00C0645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ndex</w:t>
            </w:r>
            <w:r w:rsidR="00156755" w:rsidRPr="00C06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(RPI) </w:t>
            </w:r>
            <w:r w:rsidR="00156755" w:rsidRPr="00C0645A">
              <w:rPr>
                <w:rFonts w:ascii="Arial" w:hAnsi="Arial" w:cs="Arial"/>
              </w:rPr>
              <w:t>or C</w:t>
            </w:r>
            <w:r>
              <w:rPr>
                <w:rFonts w:ascii="Arial" w:hAnsi="Arial" w:cs="Arial"/>
              </w:rPr>
              <w:t xml:space="preserve">onsumer </w:t>
            </w:r>
            <w:r w:rsidR="00156755" w:rsidRPr="00C0645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rice </w:t>
            </w:r>
            <w:r w:rsidR="00156755" w:rsidRPr="00C0645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ndex (CPI)</w:t>
            </w:r>
            <w:r w:rsidR="00156755" w:rsidRPr="00C0645A">
              <w:rPr>
                <w:rFonts w:ascii="Arial" w:hAnsi="Arial" w:cs="Arial"/>
              </w:rPr>
              <w:t xml:space="preserve"> as at September the </w:t>
            </w:r>
            <w:r>
              <w:rPr>
                <w:rFonts w:ascii="Arial" w:hAnsi="Arial" w:cs="Arial"/>
              </w:rPr>
              <w:t>previous year</w:t>
            </w:r>
            <w:r w:rsidR="00156755" w:rsidRPr="00C0645A">
              <w:rPr>
                <w:rFonts w:ascii="Arial" w:hAnsi="Arial" w:cs="Arial"/>
              </w:rPr>
              <w:t>.</w:t>
            </w:r>
          </w:p>
        </w:tc>
      </w:tr>
      <w:tr w:rsidR="00156755" w14:paraId="0C5DE439" w14:textId="77777777" w:rsidTr="00C0645A">
        <w:tc>
          <w:tcPr>
            <w:tcW w:w="2689" w:type="dxa"/>
          </w:tcPr>
          <w:p w14:paraId="0CC2A3F0" w14:textId="77777777" w:rsidR="00156755" w:rsidRPr="00C0645A" w:rsidRDefault="00156755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>Income Bands</w:t>
            </w:r>
          </w:p>
        </w:tc>
        <w:tc>
          <w:tcPr>
            <w:tcW w:w="6327" w:type="dxa"/>
          </w:tcPr>
          <w:p w14:paraId="2217F6A5" w14:textId="7B61866D" w:rsidR="00156755" w:rsidRPr="00C0645A" w:rsidRDefault="0034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amount of w</w:t>
            </w:r>
            <w:r w:rsidR="00C0645A" w:rsidRPr="00C0645A">
              <w:rPr>
                <w:rFonts w:ascii="Arial" w:hAnsi="Arial" w:cs="Arial"/>
              </w:rPr>
              <w:t>eekly net income used in the calculation of the award.  Some income is not included</w:t>
            </w:r>
            <w:r>
              <w:rPr>
                <w:rFonts w:ascii="Arial" w:hAnsi="Arial" w:cs="Arial"/>
              </w:rPr>
              <w:t>,</w:t>
            </w:r>
            <w:r w:rsidR="00C0645A" w:rsidRPr="00C0645A">
              <w:rPr>
                <w:rFonts w:ascii="Arial" w:hAnsi="Arial" w:cs="Arial"/>
              </w:rPr>
              <w:t xml:space="preserve"> such as </w:t>
            </w:r>
            <w:r>
              <w:rPr>
                <w:rFonts w:ascii="Arial" w:hAnsi="Arial" w:cs="Arial"/>
              </w:rPr>
              <w:t xml:space="preserve">certain </w:t>
            </w:r>
            <w:r w:rsidR="00C0645A" w:rsidRPr="00C0645A">
              <w:rPr>
                <w:rFonts w:ascii="Arial" w:hAnsi="Arial" w:cs="Arial"/>
              </w:rPr>
              <w:t>disability benefits.  Where income changes but stays within the same band, then there is no change to entitlement, but the change is still recorded.</w:t>
            </w:r>
          </w:p>
        </w:tc>
      </w:tr>
      <w:tr w:rsidR="00156755" w14:paraId="4BCA7FCE" w14:textId="77777777" w:rsidTr="00C0645A">
        <w:tc>
          <w:tcPr>
            <w:tcW w:w="2689" w:type="dxa"/>
          </w:tcPr>
          <w:p w14:paraId="09090EBD" w14:textId="77777777" w:rsidR="00156755" w:rsidRPr="00C0645A" w:rsidRDefault="00C0645A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>Capping</w:t>
            </w:r>
          </w:p>
        </w:tc>
        <w:tc>
          <w:tcPr>
            <w:tcW w:w="6327" w:type="dxa"/>
          </w:tcPr>
          <w:p w14:paraId="3B872CB2" w14:textId="1E2EBBE3" w:rsidR="00156755" w:rsidRPr="00C0645A" w:rsidRDefault="00C0645A" w:rsidP="00DE2CB1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 xml:space="preserve">This is a ceiling </w:t>
            </w:r>
            <w:r w:rsidR="00DE2CB1">
              <w:rPr>
                <w:rFonts w:ascii="Arial" w:hAnsi="Arial" w:cs="Arial"/>
              </w:rPr>
              <w:t>limit on an award. A</w:t>
            </w:r>
            <w:r w:rsidRPr="00C0645A">
              <w:rPr>
                <w:rFonts w:ascii="Arial" w:hAnsi="Arial" w:cs="Arial"/>
              </w:rPr>
              <w:t xml:space="preserve"> cap</w:t>
            </w:r>
            <w:r w:rsidR="00DE2CB1">
              <w:rPr>
                <w:rFonts w:ascii="Arial" w:hAnsi="Arial" w:cs="Arial"/>
              </w:rPr>
              <w:t>ping level could be applied to the</w:t>
            </w:r>
            <w:r w:rsidRPr="00C0645A">
              <w:rPr>
                <w:rFonts w:ascii="Arial" w:hAnsi="Arial" w:cs="Arial"/>
              </w:rPr>
              <w:t xml:space="preserve"> council tax band</w:t>
            </w:r>
            <w:r w:rsidR="00DE2CB1">
              <w:rPr>
                <w:rFonts w:ascii="Arial" w:hAnsi="Arial" w:cs="Arial"/>
              </w:rPr>
              <w:t>s</w:t>
            </w:r>
            <w:r w:rsidRPr="00C0645A">
              <w:rPr>
                <w:rFonts w:ascii="Arial" w:hAnsi="Arial" w:cs="Arial"/>
              </w:rPr>
              <w:t xml:space="preserve">, </w:t>
            </w:r>
            <w:r w:rsidR="0034635A">
              <w:rPr>
                <w:rFonts w:ascii="Arial" w:hAnsi="Arial" w:cs="Arial"/>
              </w:rPr>
              <w:t>s</w:t>
            </w:r>
            <w:r w:rsidR="00DE2CB1">
              <w:rPr>
                <w:rFonts w:ascii="Arial" w:hAnsi="Arial" w:cs="Arial"/>
              </w:rPr>
              <w:t>o</w:t>
            </w:r>
            <w:r w:rsidR="0034635A">
              <w:rPr>
                <w:rFonts w:ascii="Arial" w:hAnsi="Arial" w:cs="Arial"/>
              </w:rPr>
              <w:t xml:space="preserve"> instead of applying Council Tax Reduction </w:t>
            </w:r>
            <w:r w:rsidR="00DE2CB1">
              <w:rPr>
                <w:rFonts w:ascii="Arial" w:hAnsi="Arial" w:cs="Arial"/>
              </w:rPr>
              <w:t xml:space="preserve">(CTR) </w:t>
            </w:r>
            <w:r w:rsidR="0034635A">
              <w:rPr>
                <w:rFonts w:ascii="Arial" w:hAnsi="Arial" w:cs="Arial"/>
              </w:rPr>
              <w:t>using</w:t>
            </w:r>
            <w:r w:rsidRPr="00C0645A">
              <w:rPr>
                <w:rFonts w:ascii="Arial" w:hAnsi="Arial" w:cs="Arial"/>
              </w:rPr>
              <w:t xml:space="preserve"> all </w:t>
            </w:r>
            <w:r w:rsidR="00DE2CB1">
              <w:rPr>
                <w:rFonts w:ascii="Arial" w:hAnsi="Arial" w:cs="Arial"/>
              </w:rPr>
              <w:t xml:space="preserve">the council tax bands </w:t>
            </w:r>
            <w:r w:rsidRPr="00C0645A">
              <w:rPr>
                <w:rFonts w:ascii="Arial" w:hAnsi="Arial" w:cs="Arial"/>
              </w:rPr>
              <w:t xml:space="preserve">A-H, that only </w:t>
            </w:r>
            <w:r w:rsidR="00DE2CB1">
              <w:rPr>
                <w:rFonts w:ascii="Arial" w:hAnsi="Arial" w:cs="Arial"/>
              </w:rPr>
              <w:t>bands A-E are</w:t>
            </w:r>
            <w:r w:rsidRPr="00C0645A">
              <w:rPr>
                <w:rFonts w:ascii="Arial" w:hAnsi="Arial" w:cs="Arial"/>
              </w:rPr>
              <w:t xml:space="preserve"> applied.  This means that the capping level is </w:t>
            </w:r>
            <w:r w:rsidR="00DE2CB1">
              <w:rPr>
                <w:rFonts w:ascii="Arial" w:hAnsi="Arial" w:cs="Arial"/>
              </w:rPr>
              <w:t xml:space="preserve">at a </w:t>
            </w:r>
            <w:r w:rsidRPr="00C0645A">
              <w:rPr>
                <w:rFonts w:ascii="Arial" w:hAnsi="Arial" w:cs="Arial"/>
              </w:rPr>
              <w:t xml:space="preserve">band E </w:t>
            </w:r>
            <w:r w:rsidR="00DE2CB1">
              <w:rPr>
                <w:rFonts w:ascii="Arial" w:hAnsi="Arial" w:cs="Arial"/>
              </w:rPr>
              <w:t xml:space="preserve">Council Tax amount, </w:t>
            </w:r>
            <w:r w:rsidRPr="00C0645A">
              <w:rPr>
                <w:rFonts w:ascii="Arial" w:hAnsi="Arial" w:cs="Arial"/>
              </w:rPr>
              <w:t xml:space="preserve">and </w:t>
            </w:r>
            <w:r w:rsidR="00DE2CB1">
              <w:rPr>
                <w:rFonts w:ascii="Arial" w:hAnsi="Arial" w:cs="Arial"/>
              </w:rPr>
              <w:t xml:space="preserve">those claims for </w:t>
            </w:r>
            <w:r w:rsidRPr="00C0645A">
              <w:rPr>
                <w:rFonts w:ascii="Arial" w:hAnsi="Arial" w:cs="Arial"/>
              </w:rPr>
              <w:t xml:space="preserve">properties </w:t>
            </w:r>
            <w:r w:rsidR="00DE2CB1">
              <w:rPr>
                <w:rFonts w:ascii="Arial" w:hAnsi="Arial" w:cs="Arial"/>
              </w:rPr>
              <w:t xml:space="preserve">in Bands F-H </w:t>
            </w:r>
            <w:r w:rsidRPr="00C0645A">
              <w:rPr>
                <w:rFonts w:ascii="Arial" w:hAnsi="Arial" w:cs="Arial"/>
              </w:rPr>
              <w:t>would only see a maximum level of support to a band E Council Tax liability</w:t>
            </w:r>
            <w:r w:rsidR="00DE2CB1">
              <w:rPr>
                <w:rFonts w:ascii="Arial" w:hAnsi="Arial" w:cs="Arial"/>
              </w:rPr>
              <w:t>. The claimant</w:t>
            </w:r>
            <w:r w:rsidRPr="00C0645A">
              <w:rPr>
                <w:rFonts w:ascii="Arial" w:hAnsi="Arial" w:cs="Arial"/>
              </w:rPr>
              <w:t xml:space="preserve"> would need to </w:t>
            </w:r>
            <w:r w:rsidR="00DE2CB1">
              <w:rPr>
                <w:rFonts w:ascii="Arial" w:hAnsi="Arial" w:cs="Arial"/>
              </w:rPr>
              <w:t>pay the difference between their</w:t>
            </w:r>
            <w:r w:rsidRPr="00C0645A">
              <w:rPr>
                <w:rFonts w:ascii="Arial" w:hAnsi="Arial" w:cs="Arial"/>
              </w:rPr>
              <w:t xml:space="preserve"> CTR award and their Council Tax liability.</w:t>
            </w:r>
          </w:p>
        </w:tc>
      </w:tr>
      <w:tr w:rsidR="00C0645A" w14:paraId="2CAE48D2" w14:textId="77777777" w:rsidTr="00C0645A">
        <w:tc>
          <w:tcPr>
            <w:tcW w:w="2689" w:type="dxa"/>
          </w:tcPr>
          <w:p w14:paraId="3295E531" w14:textId="77777777" w:rsidR="00C0645A" w:rsidRPr="00C0645A" w:rsidRDefault="00C0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Minimum Wage</w:t>
            </w:r>
          </w:p>
        </w:tc>
        <w:tc>
          <w:tcPr>
            <w:tcW w:w="6327" w:type="dxa"/>
          </w:tcPr>
          <w:p w14:paraId="3B865D19" w14:textId="149EF494" w:rsidR="00C0645A" w:rsidRPr="006962AB" w:rsidRDefault="008548FE" w:rsidP="00696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2022/23</w:t>
            </w:r>
            <w:r w:rsidR="006962AB">
              <w:rPr>
                <w:rFonts w:ascii="Arial" w:hAnsi="Arial" w:cs="Arial"/>
              </w:rPr>
              <w:t xml:space="preserve"> the rate is</w:t>
            </w:r>
            <w:r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 xml:space="preserve"> £9.50</w:t>
            </w:r>
          </w:p>
        </w:tc>
      </w:tr>
      <w:tr w:rsidR="00C0645A" w14:paraId="66BC9148" w14:textId="77777777" w:rsidTr="00C0645A">
        <w:tc>
          <w:tcPr>
            <w:tcW w:w="2689" w:type="dxa"/>
          </w:tcPr>
          <w:p w14:paraId="352C77BB" w14:textId="77777777" w:rsidR="00C0645A" w:rsidRDefault="00C0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 Living Wage</w:t>
            </w:r>
          </w:p>
        </w:tc>
        <w:tc>
          <w:tcPr>
            <w:tcW w:w="6327" w:type="dxa"/>
          </w:tcPr>
          <w:p w14:paraId="05FA19CD" w14:textId="08CB377F" w:rsidR="00C0645A" w:rsidRPr="00C0645A" w:rsidRDefault="008548FE" w:rsidP="00696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2022/23 the rate is £10.50</w:t>
            </w:r>
            <w:bookmarkStart w:id="0" w:name="_GoBack"/>
            <w:bookmarkEnd w:id="0"/>
          </w:p>
        </w:tc>
      </w:tr>
      <w:tr w:rsidR="006962AB" w14:paraId="6061D814" w14:textId="77777777" w:rsidTr="00C0645A">
        <w:tc>
          <w:tcPr>
            <w:tcW w:w="2689" w:type="dxa"/>
          </w:tcPr>
          <w:p w14:paraId="6B1E5FC1" w14:textId="77777777" w:rsidR="006962AB" w:rsidRDefault="00696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 Cap</w:t>
            </w:r>
          </w:p>
        </w:tc>
        <w:tc>
          <w:tcPr>
            <w:tcW w:w="6327" w:type="dxa"/>
          </w:tcPr>
          <w:p w14:paraId="074C5ED6" w14:textId="7FDDE171" w:rsidR="006962AB" w:rsidRPr="00DE2CB1" w:rsidRDefault="00DE2CB1" w:rsidP="00C0645A">
            <w:pPr>
              <w:rPr>
                <w:rFonts w:ascii="Arial" w:hAnsi="Arial" w:cs="Arial"/>
              </w:rPr>
            </w:pPr>
            <w:r w:rsidRPr="00DE2CB1">
              <w:rPr>
                <w:rFonts w:ascii="Arial" w:hAnsi="Arial" w:cs="Arial"/>
                <w:shd w:val="clear" w:color="auto" w:fill="FFFFFF"/>
              </w:rPr>
              <w:t>The </w:t>
            </w:r>
            <w:r w:rsidRPr="00DE2CB1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benefit cap</w:t>
            </w:r>
            <w:r w:rsidRPr="00DE2CB1">
              <w:rPr>
                <w:rFonts w:ascii="Arial" w:hAnsi="Arial" w:cs="Arial"/>
                <w:shd w:val="clear" w:color="auto" w:fill="FFFFFF"/>
              </w:rPr>
              <w:t> is a limit on the total amount of </w:t>
            </w:r>
            <w:r w:rsidRPr="00DE2CB1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benefit</w:t>
            </w:r>
            <w:r w:rsidRPr="00DE2CB1">
              <w:rPr>
                <w:rFonts w:ascii="Arial" w:hAnsi="Arial" w:cs="Arial"/>
                <w:shd w:val="clear" w:color="auto" w:fill="FFFFFF"/>
              </w:rPr>
              <w:t> you can get. It applies to most people aged 16 or over who have not reached State Pension</w:t>
            </w:r>
            <w:r w:rsidR="0097469F">
              <w:rPr>
                <w:rFonts w:ascii="Arial" w:hAnsi="Arial" w:cs="Arial"/>
                <w:shd w:val="clear" w:color="auto" w:fill="FFFFFF"/>
              </w:rPr>
              <w:t xml:space="preserve"> Age</w:t>
            </w:r>
            <w:r w:rsidRPr="00DE2CB1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Pr="00DE2CB1">
              <w:rPr>
                <w:rFonts w:ascii="Arial" w:hAnsi="Arial" w:cs="Arial"/>
              </w:rPr>
              <w:t>A</w:t>
            </w:r>
            <w:r w:rsidR="006962AB" w:rsidRPr="00DE2CB1">
              <w:rPr>
                <w:rFonts w:ascii="Arial" w:hAnsi="Arial" w:cs="Arial"/>
              </w:rPr>
              <w:t xml:space="preserve"> cap </w:t>
            </w:r>
            <w:r w:rsidRPr="00DE2CB1">
              <w:rPr>
                <w:rFonts w:ascii="Arial" w:hAnsi="Arial" w:cs="Arial"/>
              </w:rPr>
              <w:t>is usually applied when a claimant is not in employment for</w:t>
            </w:r>
            <w:r w:rsidR="006962AB" w:rsidRPr="00DE2CB1">
              <w:rPr>
                <w:rFonts w:ascii="Arial" w:hAnsi="Arial" w:cs="Arial"/>
              </w:rPr>
              <w:t xml:space="preserve"> more than 16 hours per week</w:t>
            </w:r>
            <w:r w:rsidRPr="00DE2CB1">
              <w:rPr>
                <w:rFonts w:ascii="Arial" w:hAnsi="Arial" w:cs="Arial"/>
              </w:rPr>
              <w:t>,</w:t>
            </w:r>
            <w:r w:rsidR="006962AB" w:rsidRPr="00DE2CB1">
              <w:rPr>
                <w:rFonts w:ascii="Arial" w:hAnsi="Arial" w:cs="Arial"/>
              </w:rPr>
              <w:t xml:space="preserve"> and is not exempt by disability.</w:t>
            </w:r>
          </w:p>
          <w:p w14:paraId="17DEE4A1" w14:textId="77777777" w:rsidR="006962AB" w:rsidRDefault="006962AB" w:rsidP="00C0645A">
            <w:pPr>
              <w:rPr>
                <w:rFonts w:ascii="Arial" w:hAnsi="Arial" w:cs="Arial"/>
              </w:rPr>
            </w:pPr>
          </w:p>
          <w:p w14:paraId="5CF5A065" w14:textId="20270850" w:rsidR="006962AB" w:rsidRDefault="00DE2CB1" w:rsidP="00C0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 level </w:t>
            </w:r>
            <w:r w:rsidR="006962AB">
              <w:rPr>
                <w:rFonts w:ascii="Arial" w:hAnsi="Arial" w:cs="Arial"/>
              </w:rPr>
              <w:t>currently for outer London is</w:t>
            </w:r>
            <w:r>
              <w:rPr>
                <w:rFonts w:ascii="Arial" w:hAnsi="Arial" w:cs="Arial"/>
              </w:rPr>
              <w:t>:</w:t>
            </w:r>
          </w:p>
          <w:p w14:paraId="56172D77" w14:textId="26C940A8" w:rsidR="006962AB" w:rsidRPr="006962AB" w:rsidRDefault="006962AB" w:rsidP="006962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</w:pP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£384.62 per we</w:t>
            </w:r>
            <w:r w:rsidR="00DE2CB1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ek (£20,000 a year) if you are</w:t>
            </w: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 xml:space="preserve"> a couple</w:t>
            </w:r>
          </w:p>
          <w:p w14:paraId="523801DA" w14:textId="63C41A97" w:rsidR="006962AB" w:rsidRPr="006962AB" w:rsidRDefault="006962AB" w:rsidP="006962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</w:pP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£384.62 per</w:t>
            </w:r>
            <w:r w:rsidR="00DE2CB1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 xml:space="preserve"> week (£20,000 a year) if you are</w:t>
            </w: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 xml:space="preserve"> a single parent and your children live with you</w:t>
            </w:r>
          </w:p>
          <w:p w14:paraId="49ABD6F2" w14:textId="3E794D04" w:rsidR="006962AB" w:rsidRPr="006962AB" w:rsidRDefault="006962AB" w:rsidP="006962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</w:pP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£257.69 p</w:t>
            </w:r>
            <w:r w:rsidR="00DE2CB1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er week (£13,400 a year) if you a</w:t>
            </w: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re a single adult</w:t>
            </w:r>
          </w:p>
        </w:tc>
      </w:tr>
      <w:tr w:rsidR="00A921AA" w14:paraId="0A18CDC9" w14:textId="77777777" w:rsidTr="00C0645A">
        <w:tc>
          <w:tcPr>
            <w:tcW w:w="2689" w:type="dxa"/>
          </w:tcPr>
          <w:p w14:paraId="0003C6FE" w14:textId="749B614C" w:rsidR="00A921AA" w:rsidRDefault="00A92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Non-dependant</w:t>
            </w:r>
          </w:p>
        </w:tc>
        <w:tc>
          <w:tcPr>
            <w:tcW w:w="6327" w:type="dxa"/>
          </w:tcPr>
          <w:p w14:paraId="2BF5A71D" w14:textId="18A38E1F" w:rsidR="00A921AA" w:rsidRPr="00A921AA" w:rsidRDefault="00A921AA" w:rsidP="00C0645A">
            <w:pPr>
              <w:rPr>
                <w:rFonts w:ascii="Arial" w:hAnsi="Arial" w:cs="Arial"/>
                <w:shd w:val="clear" w:color="auto" w:fill="FFFFFF"/>
              </w:rPr>
            </w:pPr>
            <w:r w:rsidRPr="00A921AA">
              <w:rPr>
                <w:rFonts w:ascii="Arial" w:hAnsi="Arial" w:cs="Arial"/>
                <w:color w:val="202124"/>
                <w:shd w:val="clear" w:color="auto" w:fill="FFFFFF"/>
              </w:rPr>
              <w:t>A non-dependant is </w:t>
            </w:r>
            <w:r w:rsidRPr="00A921AA">
              <w:rPr>
                <w:rFonts w:ascii="Arial" w:hAnsi="Arial" w:cs="Arial"/>
                <w:bCs/>
                <w:color w:val="202124"/>
                <w:shd w:val="clear" w:color="auto" w:fill="FFFFFF"/>
              </w:rPr>
              <w:t>an adult who lives with you</w:t>
            </w:r>
            <w:r w:rsidRPr="00A921AA">
              <w:rPr>
                <w:rFonts w:ascii="Arial" w:hAnsi="Arial" w:cs="Arial"/>
                <w:color w:val="202124"/>
                <w:shd w:val="clear" w:color="auto" w:fill="FFFFFF"/>
              </w:rPr>
              <w:t>. This doesn't mean your partner or adult children who are still dependent on you – for example, because they are in education. It could be for example, an adult son or daughter who is working or unemployed and who still lives with you.</w:t>
            </w:r>
            <w:r w:rsidRPr="00A921AA"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921AA">
              <w:rPr>
                <w:rFonts w:ascii="Arial" w:hAnsi="Arial" w:cs="Arial"/>
                <w:bCs/>
                <w:color w:val="000000"/>
                <w:shd w:val="clear" w:color="auto" w:fill="FFFFFF"/>
              </w:rPr>
              <w:t>A deduction is made on the assumption that the 'non-dependant' should make a contribution towards your council tax of at least the amount of the deduction.</w:t>
            </w:r>
          </w:p>
        </w:tc>
      </w:tr>
    </w:tbl>
    <w:p w14:paraId="24AB7320" w14:textId="77777777" w:rsidR="00FE5A33" w:rsidRDefault="00FE5A33"/>
    <w:sectPr w:rsidR="00FE5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D159F"/>
    <w:multiLevelType w:val="multilevel"/>
    <w:tmpl w:val="50F8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BD494E"/>
    <w:multiLevelType w:val="multilevel"/>
    <w:tmpl w:val="005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55"/>
    <w:rsid w:val="00156755"/>
    <w:rsid w:val="0034635A"/>
    <w:rsid w:val="005D66CB"/>
    <w:rsid w:val="006962AB"/>
    <w:rsid w:val="006D4959"/>
    <w:rsid w:val="008548FE"/>
    <w:rsid w:val="0097469F"/>
    <w:rsid w:val="00990B04"/>
    <w:rsid w:val="00A921AA"/>
    <w:rsid w:val="00C0645A"/>
    <w:rsid w:val="00DE2CB1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47F6"/>
  <w15:chartTrackingRefBased/>
  <w15:docId w15:val="{41689657-F51B-4B04-B4C5-4E78DDEF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6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A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2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D14EC-33FF-44C3-8DBE-61FB4B06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BB7D3C64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BESSELL Laura</dc:creator>
  <cp:keywords/>
  <dc:description/>
  <cp:lastModifiedBy>BESSELL Laura</cp:lastModifiedBy>
  <cp:revision>2</cp:revision>
  <dcterms:created xsi:type="dcterms:W3CDTF">2022-08-09T15:50:00Z</dcterms:created>
  <dcterms:modified xsi:type="dcterms:W3CDTF">2022-08-09T15:50:00Z</dcterms:modified>
</cp:coreProperties>
</file>